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5F" w:rsidRDefault="00BF795F" w:rsidP="00BF795F">
      <w:pPr>
        <w:rPr>
          <w:rFonts w:ascii="Times New Roman" w:eastAsia="Times New Roman" w:hAnsi="Times New Roman"/>
          <w:b/>
          <w:bCs/>
          <w:kern w:val="36"/>
          <w:sz w:val="28"/>
          <w:szCs w:val="28"/>
          <w:lang w:eastAsia="ru-RU"/>
        </w:rPr>
      </w:pPr>
      <w:r>
        <w:rPr>
          <w:noProof/>
          <w:lang w:val="uk-UA" w:eastAsia="uk-UA"/>
        </w:rPr>
        <mc:AlternateContent>
          <mc:Choice Requires="wps">
            <w:drawing>
              <wp:anchor distT="0" distB="0" distL="114300" distR="114300" simplePos="0" relativeHeight="251658240"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95F" w:rsidRDefault="00BF795F" w:rsidP="00BF795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F795F" w:rsidRDefault="00BF795F" w:rsidP="00BF795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F795F" w:rsidRDefault="00BF795F" w:rsidP="00BF795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F795F" w:rsidRDefault="00BF795F" w:rsidP="00BF795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F795F" w:rsidRDefault="00BF795F" w:rsidP="00BF795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F795F" w:rsidRDefault="00BF795F" w:rsidP="00BF795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71CC9E35" wp14:editId="51DE4B8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BF795F" w:rsidRPr="00BF795F" w:rsidRDefault="00BF795F" w:rsidP="00BF795F">
      <w:pPr>
        <w:spacing w:after="0" w:line="240" w:lineRule="auto"/>
        <w:jc w:val="center"/>
        <w:rPr>
          <w:rFonts w:ascii="Times New Roman" w:hAnsi="Times New Roman"/>
          <w:b/>
          <w:sz w:val="26"/>
          <w:szCs w:val="26"/>
          <w:lang w:val="uk-UA"/>
        </w:rPr>
      </w:pPr>
      <w:r w:rsidRPr="00BF795F">
        <w:rPr>
          <w:rFonts w:ascii="Times New Roman" w:hAnsi="Times New Roman"/>
          <w:b/>
          <w:sz w:val="26"/>
          <w:szCs w:val="26"/>
          <w:lang w:val="uk-UA"/>
        </w:rPr>
        <w:t>Який порядок оподаткування доходу, отриманого резидентом від продажу нерухомого майна?</w:t>
      </w:r>
    </w:p>
    <w:p w:rsidR="00BF795F" w:rsidRPr="00BF795F" w:rsidRDefault="00BF795F" w:rsidP="00BF795F">
      <w:pPr>
        <w:spacing w:after="0" w:line="240" w:lineRule="auto"/>
        <w:jc w:val="both"/>
        <w:rPr>
          <w:rFonts w:ascii="Times New Roman" w:hAnsi="Times New Roman"/>
          <w:b/>
          <w:sz w:val="26"/>
          <w:szCs w:val="26"/>
          <w:lang w:val="uk-UA"/>
        </w:rPr>
      </w:pP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Відповідно до п. 172.1 ст. 172 Податкового кодексу України від 02 грудня 2010 року № 2755-VІ (далі – ПКУ) не оподатковується один раз протягом звітного податкового року, за умови перебування такого майна у власності платника податку більше трьох років, дохід, отриманий платником податку від продажу (обміну):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житлового будинку, квартири або їх частини, кімнати, садового (дачного) будинку (включаючи об’єкт незавершеного будівництва таких об’єктів, земельну ділянку, на якій розташовані такі об’єкти, а також господарсько-побутові споруди та будівлі, розташовані на такій земельній ділянці);</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земельної ділянки, що не перевищує норми безоплатної передачі, визначені ст. 121 Земельного кодексу України від 25 жовтня 2001 року № 2768-III із змінами та доповненнями залежно від її призначення;</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земельної ділянки сільськогосподарського призначення, безпосередньо отриманої платником податку у власність у процесі приватизації земель державних і комунальних сільськогосподарських підприємств, установ та організацій або приватизації земельних ділянок, що перебували у користуванні такого платника, або виділеної в натурі (на місцевості) власнику земельної частки (паю), а також таких земельних ділянок, отриманих платником податку у спадщину.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Умова щодо перебування такого майна у власності платника податку більше трьох років не поширюється на майно, отримане платником податку у спадщину.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Дохід від відчуження господарсько-побутових споруд, що розташовані на одній ділянці з житловим або садовим (дачним) будинком та продаються разом з ним для цілей оподаткування, окремо не визначається.</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Разом з тим, згідно з абзацом першим п. 172.2 ст. 172 ПКУ дохід, отриманий платником податку від продажу протягом звітного (податкового) року другого об’єкта нерухомості (крім операцій з відчуження житлової нерухомості банками в порядку звернення стягнення за договорами іпотеки, що забезпечують кредит, наданий в іноземній валюті), із зазначених у п. 172.1 ст. 172 ПКУ, або від продажу об’єкта нерухомості, не зазначеного у п. 172.1 </w:t>
      </w:r>
      <w:proofErr w:type="spellStart"/>
      <w:r w:rsidRPr="00BF795F">
        <w:rPr>
          <w:rFonts w:ascii="Times New Roman" w:hAnsi="Times New Roman"/>
          <w:sz w:val="26"/>
          <w:szCs w:val="26"/>
          <w:lang w:val="uk-UA"/>
        </w:rPr>
        <w:t>ст</w:t>
      </w:r>
      <w:proofErr w:type="spellEnd"/>
      <w:r w:rsidRPr="00BF795F">
        <w:rPr>
          <w:rFonts w:ascii="Times New Roman" w:hAnsi="Times New Roman"/>
          <w:sz w:val="26"/>
          <w:szCs w:val="26"/>
          <w:lang w:val="uk-UA"/>
        </w:rPr>
        <w:t xml:space="preserve"> 172 ПКУ, підлягає оподаткуванню за ставкою, визначеною п. 167.2 ст. 167 ПКУ (5 відсотків).</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Відповідно до абзацу другого п. 172.2 ст. 172 ПКУ дохід, отриманий платником податку від продажу протягом звітного (податкового) року третього та наступних об’єктів нерухомості (крім операцій з відчуження житлової нерухомості банками в порядку звернення стягнення за договорами іпотеки, що забезпечують кредит, наданий в іноземній валюті), із зазначених у п. 172.1 ст. 172 ПКУ, або від продажу другого та наступних об’єктів нерухомості, не зазначених у п. 172.1 ст. 172 ПКУ, підлягає оподаткуванню за ставкою, визначеною п. 167.1 ст. 167 ПКУ (18 </w:t>
      </w:r>
      <w:proofErr w:type="spellStart"/>
      <w:r w:rsidRPr="00BF795F">
        <w:rPr>
          <w:rFonts w:ascii="Times New Roman" w:hAnsi="Times New Roman"/>
          <w:sz w:val="26"/>
          <w:szCs w:val="26"/>
          <w:lang w:val="uk-UA"/>
        </w:rPr>
        <w:t>відс</w:t>
      </w:r>
      <w:proofErr w:type="spellEnd"/>
      <w:r w:rsidRPr="00BF795F">
        <w:rPr>
          <w:rFonts w:ascii="Times New Roman" w:hAnsi="Times New Roman"/>
          <w:sz w:val="26"/>
          <w:szCs w:val="26"/>
          <w:lang w:val="uk-UA"/>
        </w:rPr>
        <w:t>.), крім випадків, якщо зазначене у цьому абзаці майно отримано платником податку у спадщину.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lastRenderedPageBreak/>
        <w:t xml:space="preserve">Дохід, отриманий платником податків від продажу протягом звітного (податкового) року неподільного об’єкта незавершеного будівництва/майбутнього об’єкта нерухомості, подільного об’єкта незавершеного будівництва та від відступлення прав за договором купівлі-продажу неподільного об’єкта незавершеного будівництва/майбутнього об’єкта нерухомості, щодо якого сплачено частково ціну та зареєстровано обтяження речових прав на користь покупця, підлягає оподаткуванню за ставкою, визначеною п. 167.1ст. 167 ПКУ (18 </w:t>
      </w:r>
      <w:proofErr w:type="spellStart"/>
      <w:r w:rsidRPr="00BF795F">
        <w:rPr>
          <w:rFonts w:ascii="Times New Roman" w:hAnsi="Times New Roman"/>
          <w:sz w:val="26"/>
          <w:szCs w:val="26"/>
          <w:lang w:val="uk-UA"/>
        </w:rPr>
        <w:t>відс</w:t>
      </w:r>
      <w:proofErr w:type="spellEnd"/>
      <w:r w:rsidRPr="00BF795F">
        <w:rPr>
          <w:rFonts w:ascii="Times New Roman" w:hAnsi="Times New Roman"/>
          <w:sz w:val="26"/>
          <w:szCs w:val="26"/>
          <w:lang w:val="uk-UA"/>
        </w:rPr>
        <w:t>.), крім випадків, якщо зазначене у цьому абзаці майно, майнові права отримано платником податку у спадщину (абзац третій п. 172.2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Дохід, отриманий платником податку від продажу протягом звітного (податкового) року третього та наступних об’єктів нерухомості у вигляді отриманих у спадщину об’єктів нерухомості, а також дохід від продажу протягом звітного (податкового) року неподільного об’єкта незавершеного будівництва/майбутнього об’єкта нерухомості, подільного об’єкта незавершеного будівництва та/або від відступлення прав за договором купівлі-продажу неподільного об’єкта незавершеного будівництва/майбутнього об’єкта нерухомості, щодо якого сплачено частково ціну та зареєстровано обтяження речових прав на користь покупця, за умови що таке майно, майнові права отримано платником податку у спадщину, підлягає оподаткуванню за ставкою, визначеною п. 167.2 ст. 167 ПКУ (5 </w:t>
      </w:r>
      <w:proofErr w:type="spellStart"/>
      <w:r w:rsidRPr="00BF795F">
        <w:rPr>
          <w:rFonts w:ascii="Times New Roman" w:hAnsi="Times New Roman"/>
          <w:sz w:val="26"/>
          <w:szCs w:val="26"/>
          <w:lang w:val="uk-UA"/>
        </w:rPr>
        <w:t>відс</w:t>
      </w:r>
      <w:proofErr w:type="spellEnd"/>
      <w:r w:rsidRPr="00BF795F">
        <w:rPr>
          <w:rFonts w:ascii="Times New Roman" w:hAnsi="Times New Roman"/>
          <w:sz w:val="26"/>
          <w:szCs w:val="26"/>
          <w:lang w:val="uk-UA"/>
        </w:rPr>
        <w:t>.) (абзац четвертий п. 172.2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Дохід від продажу об’єктів нерухомості, зазначених в абзаці другому п. 172.2 ст. 172 ПКУ, може бути зменшений на документально підтверджені витрати на придбання об’єкта нерухомості, розташованого на території України (абзац п’ятий п. 172.2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Дохід від продажу протягом звітного (податкового) року неподільного об’єкта незавершеного будівництва/майбутнього об’єкта нерухомості, подільного об’єкта незавершеного будівництва та від відступлення прав за договором купівлі-продажу неподільного об’єкта незавершеного будівництва/майбутнього об’єкта нерухомості, щодо якого сплачено частково ціну та зареєстровано обтяження речових прав на користь покупця, може бути зменшений на документально підтверджені витрати на придбання такого об’єкта, майнових прав (абзац шостий п. 172.2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Під витратами на придбання об’єкта нерухомості розуміються:</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а) кошти, сплачені платником податків як вартість цінних паперів, деривативів (</w:t>
      </w:r>
      <w:proofErr w:type="spellStart"/>
      <w:r w:rsidRPr="00BF795F">
        <w:rPr>
          <w:rFonts w:ascii="Times New Roman" w:hAnsi="Times New Roman"/>
          <w:sz w:val="26"/>
          <w:szCs w:val="26"/>
          <w:lang w:val="uk-UA"/>
        </w:rPr>
        <w:t>деривативних</w:t>
      </w:r>
      <w:proofErr w:type="spellEnd"/>
      <w:r w:rsidRPr="00BF795F">
        <w:rPr>
          <w:rFonts w:ascii="Times New Roman" w:hAnsi="Times New Roman"/>
          <w:sz w:val="26"/>
          <w:szCs w:val="26"/>
          <w:lang w:val="uk-UA"/>
        </w:rPr>
        <w:t xml:space="preserve"> контрактів) та майнових прав, погашення яких відбулося шляхом передачі об’єкта нерухомості (або його частини);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б) кошти, передані в управління управителю фонду фінансування будівництва;</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в) витрати, понесені на придбання об’єкта нерухомості на етапі незавершеного будівництва;</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г) вартість об’єкта нерухомості, неподільного об’єкта незавершеного будівництва/майбутнього об’єкта нерухомості, переданого платнику податку у власність як оплата його частки у статутному капіталі господарського товариства при виході такого платника податків із складу учасників юридичної особи;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ґ) вартість предмета іпотеки, за якою іпотекодержатель набув у власність предмет іпотеки;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д) витрати на придбання об’єкта нерухомості на підставі договору купівлі-продажу, міни, у тому числі вартість майна, що було передано як компенсація за такими договорами;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lastRenderedPageBreak/>
        <w:t>е) реєстраційні збори, державне мито та аналогічні платежі, що здійснюються у зв’язку з придбанням (отриманням) прав на об’єкт нерухомості;</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є) вартість об’єкта нерухомості, що був задекларований особою як об’єкт декларування у порядку одноразового (спеціального) добровільного декларування, відповідно до </w:t>
      </w:r>
      <w:proofErr w:type="spellStart"/>
      <w:r w:rsidRPr="00BF795F">
        <w:rPr>
          <w:rFonts w:ascii="Times New Roman" w:hAnsi="Times New Roman"/>
          <w:sz w:val="26"/>
          <w:szCs w:val="26"/>
          <w:lang w:val="uk-UA"/>
        </w:rPr>
        <w:t>підрозд</w:t>
      </w:r>
      <w:proofErr w:type="spellEnd"/>
      <w:r w:rsidRPr="00BF795F">
        <w:rPr>
          <w:rFonts w:ascii="Times New Roman" w:hAnsi="Times New Roman"/>
          <w:sz w:val="26"/>
          <w:szCs w:val="26"/>
          <w:lang w:val="uk-UA"/>
        </w:rPr>
        <w:t xml:space="preserve">. 9 прим. 4 </w:t>
      </w:r>
      <w:proofErr w:type="spellStart"/>
      <w:r w:rsidRPr="00BF795F">
        <w:rPr>
          <w:rFonts w:ascii="Times New Roman" w:hAnsi="Times New Roman"/>
          <w:sz w:val="26"/>
          <w:szCs w:val="26"/>
          <w:lang w:val="uk-UA"/>
        </w:rPr>
        <w:t>розд</w:t>
      </w:r>
      <w:proofErr w:type="spellEnd"/>
      <w:r w:rsidRPr="00BF795F">
        <w:rPr>
          <w:rFonts w:ascii="Times New Roman" w:hAnsi="Times New Roman"/>
          <w:sz w:val="26"/>
          <w:szCs w:val="26"/>
          <w:lang w:val="uk-UA"/>
        </w:rPr>
        <w:t>. XX «Перехідні положення»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ж) вартість об’єкта нерухомості, неподільного об’єкта незавершеного будівництва/майбутнього об’єкта нерухомості, що був отриманий при ліквідації (припиненні) юридичної особи (у тому числі іноземної) або утворення без статусу юридичної особи (у тому числі іноземного) платником податків – акціонером (учасником, партнером, пайовиком, засновником, контролюючою особою);</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з) витрати, понесені на будівництво об’єкта нерухомості;</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и) витрати, понесені на придбання неподільного об’єкта незавершеного будівництва/майбутнього об’єкта нерухомості.</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Об’єкт нерухомості, неподільний об’єкт незавершеного будівництва/майбутній об’єкт нерухомості, подарований платнику податку, вважається придбаним за вартістю, що дорівнює сумі державного мита, реєстраційного збору чи інших аналогічних платежів, податків та зборів, сплачених у зв’язку з таким даруванням.</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Розрахунок зменшення доходу від продажу об’єктів нерухомості, неподільного об’єкта незавершеного будівництва майбутнього об’єкта нерухомості, подільного об’єкта незавершеного будівництва та від відступлення прав за договором купівлі-продажу неподільного об’єкта незавершеного будівництва/майбутнього об’єкта нерухомості, щодо якого сплачено частково ціну та зареєстровано обтяження речових прав на користь покупця, на суми дозволених витрат проводиться платником податку самостійно, а якщо стороною відповідного договору є юридична особа чи </w:t>
      </w:r>
      <w:proofErr w:type="spellStart"/>
      <w:r w:rsidRPr="00BF795F">
        <w:rPr>
          <w:rFonts w:ascii="Times New Roman" w:hAnsi="Times New Roman"/>
          <w:sz w:val="26"/>
          <w:szCs w:val="26"/>
          <w:lang w:val="uk-UA"/>
        </w:rPr>
        <w:t>самозайнята</w:t>
      </w:r>
      <w:proofErr w:type="spellEnd"/>
      <w:r w:rsidRPr="00BF795F">
        <w:rPr>
          <w:rFonts w:ascii="Times New Roman" w:hAnsi="Times New Roman"/>
          <w:sz w:val="26"/>
          <w:szCs w:val="26"/>
          <w:lang w:val="uk-UA"/>
        </w:rPr>
        <w:t xml:space="preserve"> особа, – такою особою.</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При цьому, якщо платник податку скористався правом на зарахування витрат, він зобов’язаний задекларувати доходи від усіх операцій з продажу, міни чи іншого відчуження відповідних об’єктів, здійснених протягом звітного (податкового) року, в тому числі і у разі якщо стороною відповідного договору є юридична особа чи </w:t>
      </w:r>
      <w:proofErr w:type="spellStart"/>
      <w:r w:rsidRPr="00BF795F">
        <w:rPr>
          <w:rFonts w:ascii="Times New Roman" w:hAnsi="Times New Roman"/>
          <w:sz w:val="26"/>
          <w:szCs w:val="26"/>
          <w:lang w:val="uk-UA"/>
        </w:rPr>
        <w:t>самозайнята</w:t>
      </w:r>
      <w:proofErr w:type="spellEnd"/>
      <w:r w:rsidRPr="00BF795F">
        <w:rPr>
          <w:rFonts w:ascii="Times New Roman" w:hAnsi="Times New Roman"/>
          <w:sz w:val="26"/>
          <w:szCs w:val="26"/>
          <w:lang w:val="uk-UA"/>
        </w:rPr>
        <w:t xml:space="preserve"> особа.</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Копії документів, що підтверджують зазначені витрати, надаються разом з податковою декларацією про майновий стан і доходи (далі – Декларація).</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Пунктом 172.3 ст. 172 ПКУ передбачено, що дохід від продажу об’єкта нерухомості, неподільного об’єкта незавершеного будівництва/майбутнього об’єкта нерухомості визначається виходячи з ціни, зазначеної в договорі купівлі-продажу, але не нижче оціночної вартості такого об’єкта, розрахованої модулем електронного визначення оціночної вартості Єдиної бази даних звітів про оцінку (далі – Єдина база), або не нижче ринкової вартості такого об’єкта, визначеної суб’єктом оціночної діяльності (оцінювачем) відповідно до законодавства та зазначеної у звіті про оцінку, зареєстрованому в Єдиній базі. </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Під час проведення операцій з продажу (обміну) об’єктів нерухомості, неподільного об’єкта незавершеного будівництва/майбутнього об’єкта нерухомості між фізичними особами нотаріус посвідчує відповідний договір за наявності електронної довідки про оціночну вартість такого об’єкта нерухомості, неподільного об’єкта незавершеного будівництва/майбутнього об’єкта нерухомості або звіту про оцінку, зареєстрованого відповідно до п. 172.3 ст. 172 ПКУ, та документа про сплату податку до бюджету стороною (сторонами) договору і вносить до Єдиної бази інформацію про ціну договору купівлі-продажу (п. 172.4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lastRenderedPageBreak/>
        <w:t>Відповідно до п. 172.5 ст. 172 ПКУ сума податку на доходи фізичних осіб визначається та самостійно сплачується через банківські установи: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а) особою, яка продає або обмінює з іншою фізичною особою нерухомість, неподільний об’єкт незавершеного будівництва/майбутній об’єкт нерухомості, – до нотаріального посвідчення договору купівлі-продажу, міни;</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б) особою, у власності якої перебував об’єкт нерухомості, неподільний об’єкт незавершеного будівництва/майбутній об’єкт нерухомості, відчужений за рішенням суду про зміну власника та перехід права власності на таке майно. Фізична особа зобов’язана відобразити доход від такого відчуження у річній Декларації. </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У разі невчинення нотаріальної дії щодо посвідчення договору купівлі-продажу, міни об’єкта нерухомості, неподільного об’єкта незавершеного будівництва/майбутнього об’єкта нерухомості, за яким сплачено податок, платник податку має право на повернення надміру сплаченої суми податку на підставі декларації, поданої в установленому порядку, та підтвердних документів про фактичну сплату податку (п. 172.6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Якщо ж стороною договору купівлі-продажу, міни чи іншого відсудження об’єкта нерухомого майна, неподільного об’єкта незавершеного будівництва/майбутнього об’єкта нерухомості, подільного об’єкта незавершеного будівництва та від відступлення прав за договором купівлі-продажу неподільного об’єкта незавершеного будівництва/майбутнього об’єкта нерухомості, щодо якого сплачено частково ціну та зареєстровано обтяження речових прав на користь покупця, є юридична особа чи </w:t>
      </w:r>
      <w:proofErr w:type="spellStart"/>
      <w:r w:rsidRPr="00BF795F">
        <w:rPr>
          <w:rFonts w:ascii="Times New Roman" w:hAnsi="Times New Roman"/>
          <w:sz w:val="26"/>
          <w:szCs w:val="26"/>
          <w:lang w:val="uk-UA"/>
        </w:rPr>
        <w:t>самозайнята</w:t>
      </w:r>
      <w:proofErr w:type="spellEnd"/>
      <w:r w:rsidRPr="00BF795F">
        <w:rPr>
          <w:rFonts w:ascii="Times New Roman" w:hAnsi="Times New Roman"/>
          <w:sz w:val="26"/>
          <w:szCs w:val="26"/>
          <w:lang w:val="uk-UA"/>
        </w:rPr>
        <w:t xml:space="preserve"> особа, така особа є податковим агентом платника податку щодо нарахування, утримання та сплати (перерахування) до бюджету податку з доходів, отриманих платником податку від такого продажу (обміну) (п. 172.7 ст. 172 ПКУ).</w:t>
      </w:r>
    </w:p>
    <w:p w:rsidR="00BF795F" w:rsidRPr="00BF795F" w:rsidRDefault="00BF795F" w:rsidP="00BF795F">
      <w:pPr>
        <w:spacing w:after="0" w:line="240" w:lineRule="auto"/>
        <w:ind w:firstLine="567"/>
        <w:jc w:val="both"/>
        <w:rPr>
          <w:rFonts w:ascii="Times New Roman" w:hAnsi="Times New Roman"/>
          <w:sz w:val="26"/>
          <w:szCs w:val="26"/>
          <w:lang w:val="uk-UA"/>
        </w:rPr>
      </w:pPr>
      <w:r w:rsidRPr="00BF795F">
        <w:rPr>
          <w:rFonts w:ascii="Times New Roman" w:hAnsi="Times New Roman"/>
          <w:sz w:val="26"/>
          <w:szCs w:val="26"/>
          <w:lang w:val="uk-UA"/>
        </w:rPr>
        <w:t xml:space="preserve">Під </w:t>
      </w:r>
      <w:proofErr w:type="spellStart"/>
      <w:r w:rsidRPr="00BF795F">
        <w:rPr>
          <w:rFonts w:ascii="Times New Roman" w:hAnsi="Times New Roman"/>
          <w:sz w:val="26"/>
          <w:szCs w:val="26"/>
          <w:lang w:val="uk-UA"/>
        </w:rPr>
        <w:t>продажем</w:t>
      </w:r>
      <w:proofErr w:type="spellEnd"/>
      <w:r w:rsidRPr="00BF795F">
        <w:rPr>
          <w:rFonts w:ascii="Times New Roman" w:hAnsi="Times New Roman"/>
          <w:sz w:val="26"/>
          <w:szCs w:val="26"/>
          <w:lang w:val="uk-UA"/>
        </w:rPr>
        <w:t xml:space="preserve"> розуміється будь-який перехід права власності або будь-яких інших аналогічних прав на об’єкти нерухомості, неподільний об’єкт незавершеного будівництва/майбутній об’єкт нерухомості, подільний об’єкт незавершеного будівництва, крім їх успадкування та дарування (п. 172.8 ст. 172 ПКУ).</w:t>
      </w:r>
    </w:p>
    <w:p w:rsidR="00BF795F" w:rsidRPr="00BF795F" w:rsidRDefault="00BF795F" w:rsidP="00BF795F">
      <w:pPr>
        <w:ind w:firstLine="567"/>
        <w:rPr>
          <w:rFonts w:ascii="Times New Roman" w:hAnsi="Times New Roman"/>
          <w:sz w:val="26"/>
          <w:szCs w:val="26"/>
        </w:rPr>
      </w:pPr>
      <w:r w:rsidRPr="00BF795F">
        <w:rPr>
          <w:rFonts w:ascii="Times New Roman" w:hAnsi="Times New Roman"/>
          <w:color w:val="333333"/>
          <w:sz w:val="26"/>
          <w:szCs w:val="26"/>
          <w:shd w:val="clear" w:color="auto" w:fill="FFFFFF"/>
        </w:rPr>
        <w:t xml:space="preserve">За </w:t>
      </w:r>
      <w:proofErr w:type="spellStart"/>
      <w:r w:rsidRPr="00BF795F">
        <w:rPr>
          <w:rFonts w:ascii="Times New Roman" w:hAnsi="Times New Roman"/>
          <w:color w:val="333333"/>
          <w:sz w:val="26"/>
          <w:szCs w:val="26"/>
          <w:shd w:val="clear" w:color="auto" w:fill="FFFFFF"/>
        </w:rPr>
        <w:t>інформацією</w:t>
      </w:r>
      <w:proofErr w:type="spellEnd"/>
      <w:r w:rsidRPr="00BF795F">
        <w:rPr>
          <w:rFonts w:ascii="Times New Roman" w:hAnsi="Times New Roman"/>
          <w:color w:val="333333"/>
          <w:sz w:val="26"/>
          <w:szCs w:val="26"/>
          <w:shd w:val="clear" w:color="auto" w:fill="FFFFFF"/>
        </w:rPr>
        <w:t xml:space="preserve"> </w:t>
      </w:r>
      <w:proofErr w:type="spellStart"/>
      <w:r w:rsidRPr="00BF795F">
        <w:rPr>
          <w:rFonts w:ascii="Times New Roman" w:hAnsi="Times New Roman"/>
          <w:color w:val="333333"/>
          <w:sz w:val="26"/>
          <w:szCs w:val="26"/>
          <w:shd w:val="clear" w:color="auto" w:fill="FFFFFF"/>
        </w:rPr>
        <w:t>загальнодоступного</w:t>
      </w:r>
      <w:proofErr w:type="spellEnd"/>
      <w:r w:rsidRPr="00BF795F">
        <w:rPr>
          <w:rFonts w:ascii="Times New Roman" w:hAnsi="Times New Roman"/>
          <w:color w:val="333333"/>
          <w:sz w:val="26"/>
          <w:szCs w:val="26"/>
          <w:shd w:val="clear" w:color="auto" w:fill="FFFFFF"/>
        </w:rPr>
        <w:t xml:space="preserve"> </w:t>
      </w:r>
      <w:proofErr w:type="spellStart"/>
      <w:r w:rsidRPr="00BF795F">
        <w:rPr>
          <w:rFonts w:ascii="Times New Roman" w:hAnsi="Times New Roman"/>
          <w:color w:val="333333"/>
          <w:sz w:val="26"/>
          <w:szCs w:val="26"/>
          <w:shd w:val="clear" w:color="auto" w:fill="FFFFFF"/>
        </w:rPr>
        <w:t>інформаційно-довідкового</w:t>
      </w:r>
      <w:proofErr w:type="spellEnd"/>
      <w:r w:rsidRPr="00BF795F">
        <w:rPr>
          <w:rFonts w:ascii="Times New Roman" w:hAnsi="Times New Roman"/>
          <w:color w:val="333333"/>
          <w:sz w:val="26"/>
          <w:szCs w:val="26"/>
          <w:shd w:val="clear" w:color="auto" w:fill="FFFFFF"/>
        </w:rPr>
        <w:t xml:space="preserve"> ресурсу.</w:t>
      </w:r>
    </w:p>
    <w:p w:rsidR="00BF795F" w:rsidRDefault="00BF795F"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p>
    <w:p w:rsidR="00BE133A" w:rsidRPr="00BE133A" w:rsidRDefault="00BE133A" w:rsidP="00BF795F">
      <w:pPr>
        <w:tabs>
          <w:tab w:val="num" w:pos="567"/>
        </w:tabs>
        <w:spacing w:after="0" w:line="240" w:lineRule="auto"/>
        <w:jc w:val="both"/>
        <w:rPr>
          <w:rFonts w:ascii="Times New Roman" w:eastAsia="Times New Roman" w:hAnsi="Times New Roman"/>
          <w:sz w:val="28"/>
          <w:szCs w:val="28"/>
          <w:lang w:val="en-US" w:eastAsia="ru-RU"/>
        </w:rPr>
      </w:pPr>
      <w:bookmarkStart w:id="1" w:name="_GoBack"/>
      <w:bookmarkEnd w:id="1"/>
    </w:p>
    <w:p w:rsidR="00BF795F" w:rsidRPr="00E208DE" w:rsidRDefault="00BF795F" w:rsidP="00BF795F">
      <w:pPr>
        <w:spacing w:after="0" w:line="240" w:lineRule="auto"/>
        <w:rPr>
          <w:rFonts w:ascii="Times New Roman" w:hAnsi="Times New Roman"/>
          <w:sz w:val="28"/>
          <w:szCs w:val="28"/>
        </w:rPr>
      </w:pPr>
    </w:p>
    <w:p w:rsidR="00BF795F" w:rsidRPr="00D92C16" w:rsidRDefault="00BF795F" w:rsidP="00BF795F">
      <w:pPr>
        <w:spacing w:after="0" w:line="240" w:lineRule="auto"/>
        <w:rPr>
          <w:rFonts w:ascii="Times New Roman" w:hAnsi="Times New Roman"/>
          <w:sz w:val="28"/>
          <w:szCs w:val="28"/>
        </w:rPr>
      </w:pPr>
    </w:p>
    <w:p w:rsidR="00BF795F" w:rsidRPr="00EA716F" w:rsidRDefault="00BF795F" w:rsidP="00BF795F">
      <w:pPr>
        <w:spacing w:after="0" w:line="240" w:lineRule="auto"/>
        <w:jc w:val="both"/>
        <w:rPr>
          <w:rFonts w:ascii="Times New Roman" w:hAnsi="Times New Roman"/>
          <w:sz w:val="20"/>
          <w:szCs w:val="20"/>
        </w:rPr>
      </w:pPr>
      <w:r w:rsidRPr="00EA716F">
        <w:rPr>
          <w:rFonts w:ascii="Times New Roman" w:hAnsi="Times New Roman"/>
          <w:sz w:val="20"/>
          <w:szCs w:val="20"/>
        </w:rPr>
        <w:t xml:space="preserve">18002, м. </w:t>
      </w:r>
      <w:proofErr w:type="spellStart"/>
      <w:r w:rsidRPr="00EA716F">
        <w:rPr>
          <w:rFonts w:ascii="Times New Roman" w:hAnsi="Times New Roman"/>
          <w:sz w:val="20"/>
          <w:szCs w:val="20"/>
        </w:rPr>
        <w:t>Черкаси</w:t>
      </w:r>
      <w:proofErr w:type="spellEnd"/>
      <w:r w:rsidRPr="00EA716F">
        <w:rPr>
          <w:rFonts w:ascii="Times New Roman" w:hAnsi="Times New Roman"/>
          <w:sz w:val="20"/>
          <w:szCs w:val="20"/>
        </w:rPr>
        <w:t xml:space="preserve">, </w:t>
      </w:r>
      <w:proofErr w:type="spellStart"/>
      <w:r w:rsidRPr="00EA716F">
        <w:rPr>
          <w:rFonts w:ascii="Times New Roman" w:hAnsi="Times New Roman"/>
          <w:sz w:val="20"/>
          <w:szCs w:val="20"/>
        </w:rPr>
        <w:t>вул</w:t>
      </w:r>
      <w:proofErr w:type="spellEnd"/>
      <w:r w:rsidRPr="00EA716F">
        <w:rPr>
          <w:rFonts w:ascii="Times New Roman" w:hAnsi="Times New Roman"/>
          <w:sz w:val="20"/>
          <w:szCs w:val="20"/>
        </w:rPr>
        <w:t xml:space="preserve">. Хрещатик,235                                           </w:t>
      </w:r>
      <w:r w:rsidRPr="00EA716F">
        <w:rPr>
          <w:rFonts w:ascii="Times New Roman" w:hAnsi="Times New Roman"/>
          <w:sz w:val="20"/>
          <w:szCs w:val="20"/>
          <w:lang w:val="en-US"/>
        </w:rPr>
        <w:t>e</w:t>
      </w:r>
      <w:r w:rsidRPr="00EA716F">
        <w:rPr>
          <w:rFonts w:ascii="Times New Roman" w:hAnsi="Times New Roman"/>
          <w:sz w:val="20"/>
          <w:szCs w:val="20"/>
        </w:rPr>
        <w:t>-</w:t>
      </w:r>
      <w:r w:rsidRPr="00EA716F">
        <w:rPr>
          <w:rFonts w:ascii="Times New Roman" w:hAnsi="Times New Roman"/>
          <w:sz w:val="20"/>
          <w:szCs w:val="20"/>
          <w:lang w:val="en-US"/>
        </w:rPr>
        <w:t>mail</w:t>
      </w:r>
      <w:r w:rsidRPr="00EA716F">
        <w:rPr>
          <w:rFonts w:ascii="Times New Roman" w:hAnsi="Times New Roman"/>
          <w:sz w:val="20"/>
          <w:szCs w:val="20"/>
        </w:rPr>
        <w:t xml:space="preserve">: </w:t>
      </w:r>
      <w:hyperlink r:id="rId6" w:history="1">
        <w:r w:rsidRPr="00EA716F">
          <w:rPr>
            <w:rStyle w:val="a5"/>
            <w:rFonts w:ascii="Times New Roman" w:hAnsi="Times New Roman"/>
            <w:sz w:val="20"/>
            <w:szCs w:val="20"/>
            <w:lang w:val="en-US"/>
          </w:rPr>
          <w:t>ck</w:t>
        </w:r>
        <w:r w:rsidRPr="00EA716F">
          <w:rPr>
            <w:rStyle w:val="a5"/>
            <w:rFonts w:ascii="Times New Roman" w:hAnsi="Times New Roman"/>
            <w:sz w:val="20"/>
            <w:szCs w:val="20"/>
          </w:rPr>
          <w:t>.</w:t>
        </w:r>
        <w:r w:rsidRPr="00EA716F">
          <w:rPr>
            <w:rStyle w:val="a5"/>
            <w:rFonts w:ascii="Times New Roman" w:hAnsi="Times New Roman"/>
            <w:sz w:val="20"/>
            <w:szCs w:val="20"/>
            <w:lang w:val="en-US"/>
          </w:rPr>
          <w:t>zmi</w:t>
        </w:r>
        <w:r w:rsidRPr="00EA716F">
          <w:rPr>
            <w:rStyle w:val="a5"/>
            <w:rFonts w:ascii="Times New Roman" w:hAnsi="Times New Roman"/>
            <w:sz w:val="20"/>
            <w:szCs w:val="20"/>
          </w:rPr>
          <w:t>@</w:t>
        </w:r>
        <w:r w:rsidRPr="00EA716F">
          <w:rPr>
            <w:rStyle w:val="a5"/>
            <w:rFonts w:ascii="Times New Roman" w:hAnsi="Times New Roman"/>
            <w:sz w:val="20"/>
            <w:szCs w:val="20"/>
            <w:lang w:val="en-US"/>
          </w:rPr>
          <w:t>tax</w:t>
        </w:r>
        <w:r w:rsidRPr="00EA716F">
          <w:rPr>
            <w:rStyle w:val="a5"/>
            <w:rFonts w:ascii="Times New Roman" w:hAnsi="Times New Roman"/>
            <w:sz w:val="20"/>
            <w:szCs w:val="20"/>
          </w:rPr>
          <w:t>.</w:t>
        </w:r>
        <w:r w:rsidRPr="00EA716F">
          <w:rPr>
            <w:rStyle w:val="a5"/>
            <w:rFonts w:ascii="Times New Roman" w:hAnsi="Times New Roman"/>
            <w:sz w:val="20"/>
            <w:szCs w:val="20"/>
            <w:lang w:val="en-US"/>
          </w:rPr>
          <w:t>gov</w:t>
        </w:r>
        <w:r w:rsidRPr="00EA716F">
          <w:rPr>
            <w:rStyle w:val="a5"/>
            <w:rFonts w:ascii="Times New Roman" w:hAnsi="Times New Roman"/>
            <w:sz w:val="20"/>
            <w:szCs w:val="20"/>
          </w:rPr>
          <w:t>.</w:t>
        </w:r>
        <w:proofErr w:type="spellStart"/>
        <w:r w:rsidRPr="00EA716F">
          <w:rPr>
            <w:rStyle w:val="a5"/>
            <w:rFonts w:ascii="Times New Roman" w:hAnsi="Times New Roman"/>
            <w:sz w:val="20"/>
            <w:szCs w:val="20"/>
            <w:lang w:val="en-US"/>
          </w:rPr>
          <w:t>ua</w:t>
        </w:r>
        <w:proofErr w:type="spellEnd"/>
      </w:hyperlink>
    </w:p>
    <w:p w:rsidR="00392635" w:rsidRPr="00BF795F" w:rsidRDefault="00BF795F" w:rsidP="00BF795F">
      <w:pPr>
        <w:spacing w:after="0" w:line="240" w:lineRule="auto"/>
        <w:jc w:val="both"/>
        <w:rPr>
          <w:rFonts w:ascii="Times New Roman" w:hAnsi="Times New Roman"/>
          <w:sz w:val="24"/>
          <w:szCs w:val="24"/>
          <w:lang w:val="uk-UA"/>
        </w:rPr>
      </w:pPr>
      <w:r w:rsidRPr="00EA716F">
        <w:rPr>
          <w:rFonts w:ascii="Times New Roman" w:hAnsi="Times New Roman"/>
          <w:sz w:val="20"/>
          <w:szCs w:val="20"/>
        </w:rPr>
        <w:t xml:space="preserve">тел.(0472) 33-91-34                                                                           </w:t>
      </w:r>
      <w:hyperlink r:id="rId7" w:history="1">
        <w:r w:rsidRPr="00EA716F">
          <w:rPr>
            <w:rStyle w:val="a5"/>
            <w:rFonts w:ascii="Times New Roman" w:hAnsi="Times New Roman"/>
            <w:sz w:val="20"/>
            <w:szCs w:val="20"/>
          </w:rPr>
          <w:t>https://ck.tax.gov.ua/</w:t>
        </w:r>
      </w:hyperlink>
    </w:p>
    <w:sectPr w:rsidR="00392635" w:rsidRPr="00BF795F"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95F"/>
    <w:rsid w:val="00392635"/>
    <w:rsid w:val="0045740B"/>
    <w:rsid w:val="00AB1F12"/>
    <w:rsid w:val="00BE133A"/>
    <w:rsid w:val="00BF79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95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9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95F"/>
    <w:rPr>
      <w:rFonts w:ascii="Tahoma" w:eastAsia="Calibri" w:hAnsi="Tahoma" w:cs="Tahoma"/>
      <w:sz w:val="16"/>
      <w:szCs w:val="16"/>
      <w:lang w:val="ru-RU"/>
    </w:rPr>
  </w:style>
  <w:style w:type="character" w:customStyle="1" w:styleId="z-label">
    <w:name w:val="z-label"/>
    <w:basedOn w:val="a0"/>
    <w:rsid w:val="00BF795F"/>
  </w:style>
  <w:style w:type="character" w:styleId="a5">
    <w:name w:val="Hyperlink"/>
    <w:uiPriority w:val="99"/>
    <w:rsid w:val="00BF79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95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795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795F"/>
    <w:rPr>
      <w:rFonts w:ascii="Tahoma" w:eastAsia="Calibri" w:hAnsi="Tahoma" w:cs="Tahoma"/>
      <w:sz w:val="16"/>
      <w:szCs w:val="16"/>
      <w:lang w:val="ru-RU"/>
    </w:rPr>
  </w:style>
  <w:style w:type="character" w:customStyle="1" w:styleId="z-label">
    <w:name w:val="z-label"/>
    <w:basedOn w:val="a0"/>
    <w:rsid w:val="00BF795F"/>
  </w:style>
  <w:style w:type="character" w:styleId="a5">
    <w:name w:val="Hyperlink"/>
    <w:uiPriority w:val="99"/>
    <w:rsid w:val="00BF79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7643</Words>
  <Characters>4358</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2022-10-17T13:05:00Z</cp:lastPrinted>
  <dcterms:created xsi:type="dcterms:W3CDTF">2022-10-17T12:57:00Z</dcterms:created>
  <dcterms:modified xsi:type="dcterms:W3CDTF">2022-10-19T05:25:00Z</dcterms:modified>
</cp:coreProperties>
</file>